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1C5" w:rsidRDefault="00C501C5" w:rsidP="006B5227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Annex II</w:t>
      </w:r>
    </w:p>
    <w:p w:rsidR="003F3DCC" w:rsidRPr="000D7053" w:rsidRDefault="006D5CF0" w:rsidP="006B5227">
      <w:pPr>
        <w:jc w:val="both"/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S.</w:t>
      </w:r>
      <w:r w:rsidR="001D67B3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="00D15C01"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2</w:t>
      </w:r>
      <w:r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>.0</w:t>
      </w:r>
      <w:r w:rsidR="001D67B3">
        <w:rPr>
          <w:rFonts w:ascii="Times New Roman" w:hAnsi="Times New Roman" w:cs="Times New Roman"/>
          <w:b/>
          <w:bCs/>
          <w:sz w:val="20"/>
          <w:szCs w:val="20"/>
          <w:lang w:val="en-US"/>
        </w:rPr>
        <w:t>6</w:t>
      </w:r>
      <w:r w:rsidR="003924C2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</w:t>
      </w:r>
      <w:r w:rsidR="003F3DCC" w:rsidRPr="00173BDA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– </w:t>
      </w:r>
      <w:r w:rsidR="00BD1360">
        <w:rPr>
          <w:rFonts w:ascii="Times New Roman" w:hAnsi="Times New Roman" w:cs="Times New Roman"/>
          <w:b/>
          <w:sz w:val="20"/>
          <w:szCs w:val="20"/>
          <w:lang w:val="en-GB"/>
        </w:rPr>
        <w:t xml:space="preserve">Best estimate </w:t>
      </w:r>
      <w:r w:rsidR="001D67B3">
        <w:rPr>
          <w:rFonts w:ascii="Times New Roman" w:hAnsi="Times New Roman" w:cs="Times New Roman"/>
          <w:b/>
          <w:sz w:val="20"/>
          <w:szCs w:val="20"/>
          <w:lang w:val="en-GB"/>
        </w:rPr>
        <w:t>s</w:t>
      </w:r>
      <w:r w:rsidR="001D67B3" w:rsidRPr="001D67B3">
        <w:rPr>
          <w:rFonts w:ascii="Times New Roman" w:hAnsi="Times New Roman" w:cs="Times New Roman"/>
          <w:b/>
          <w:sz w:val="20"/>
          <w:szCs w:val="20"/>
          <w:lang w:val="en-GB"/>
        </w:rPr>
        <w:t>ubject to volatility adjustmen</w:t>
      </w:r>
      <w:r w:rsidR="001D67B3">
        <w:rPr>
          <w:rFonts w:ascii="Times New Roman" w:hAnsi="Times New Roman" w:cs="Times New Roman"/>
          <w:b/>
          <w:sz w:val="20"/>
          <w:szCs w:val="20"/>
          <w:lang w:val="en-GB"/>
        </w:rPr>
        <w:t xml:space="preserve">t </w:t>
      </w:r>
      <w:r w:rsidR="00BD1360">
        <w:rPr>
          <w:rFonts w:ascii="Times New Roman" w:hAnsi="Times New Roman" w:cs="Times New Roman"/>
          <w:b/>
          <w:sz w:val="20"/>
          <w:szCs w:val="20"/>
          <w:lang w:val="en-GB"/>
        </w:rPr>
        <w:t xml:space="preserve">by </w:t>
      </w:r>
      <w:r w:rsidR="00E0530F">
        <w:rPr>
          <w:rFonts w:ascii="Times New Roman" w:hAnsi="Times New Roman" w:cs="Times New Roman"/>
          <w:b/>
          <w:sz w:val="20"/>
          <w:szCs w:val="20"/>
          <w:lang w:val="en-GB"/>
        </w:rPr>
        <w:t>country</w:t>
      </w:r>
      <w:r w:rsidR="00E0530F" w:rsidRPr="00E0530F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  <w:r w:rsidR="00BD1360">
        <w:rPr>
          <w:rFonts w:ascii="Times New Roman" w:hAnsi="Times New Roman" w:cs="Times New Roman"/>
          <w:b/>
          <w:sz w:val="20"/>
          <w:szCs w:val="20"/>
          <w:lang w:val="en-GB"/>
        </w:rPr>
        <w:t xml:space="preserve">and </w:t>
      </w:r>
      <w:r w:rsidR="00E0530F">
        <w:rPr>
          <w:rFonts w:ascii="Times New Roman" w:hAnsi="Times New Roman" w:cs="Times New Roman"/>
          <w:b/>
          <w:sz w:val="20"/>
          <w:szCs w:val="20"/>
          <w:lang w:val="en-GB"/>
        </w:rPr>
        <w:t>currency</w:t>
      </w:r>
      <w:r w:rsidR="00C209D2" w:rsidRPr="00173BDA">
        <w:rPr>
          <w:rFonts w:ascii="Times New Roman" w:hAnsi="Times New Roman" w:cs="Times New Roman"/>
          <w:b/>
          <w:sz w:val="20"/>
          <w:szCs w:val="20"/>
          <w:lang w:val="en-GB"/>
        </w:rPr>
        <w:t xml:space="preserve"> </w:t>
      </w:r>
    </w:p>
    <w:p w:rsidR="003F3DCC" w:rsidRPr="000D7053" w:rsidRDefault="003F3DCC" w:rsidP="006B5227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:rsidR="00FB5784" w:rsidRPr="000D7053" w:rsidRDefault="00FB5784" w:rsidP="006B522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contains additional instructions in relation to the templates included in Annex I of this Regulation. The first column of the next table identifies the items to be reported by identifying the columns and lines as shown in the template in Annex I.</w:t>
      </w:r>
    </w:p>
    <w:p w:rsidR="00FB5784" w:rsidRPr="000D7053" w:rsidRDefault="00FB5784" w:rsidP="006B522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0D7053">
        <w:rPr>
          <w:rFonts w:ascii="Times New Roman" w:hAnsi="Times New Roman" w:cs="Times New Roman"/>
          <w:bCs/>
          <w:sz w:val="20"/>
          <w:szCs w:val="20"/>
          <w:lang w:val="en-US"/>
        </w:rPr>
        <w:t>This annex relates to annual submission of information for individual entities.</w:t>
      </w:r>
    </w:p>
    <w:p w:rsidR="001D67B3" w:rsidRPr="00E0533B" w:rsidRDefault="001D67B3" w:rsidP="006B5227">
      <w:pPr>
        <w:jc w:val="both"/>
        <w:rPr>
          <w:rFonts w:ascii="Times New Roman" w:hAnsi="Times New Roman" w:cs="Times New Roman"/>
          <w:bCs/>
          <w:sz w:val="20"/>
          <w:szCs w:val="20"/>
          <w:lang w:val="en-US"/>
        </w:rPr>
      </w:pPr>
      <w:r w:rsidRPr="00F65FA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This template shall only be reported by insurance and reinsurance undertakings that apply volatility adjustment in accordance with article 77d of the Directive 2009/138/EC. </w:t>
      </w:r>
    </w:p>
    <w:p w:rsidR="006D5CF0" w:rsidRPr="00F65FA4" w:rsidRDefault="00BD78AD" w:rsidP="006B5227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E0533B">
        <w:rPr>
          <w:rFonts w:ascii="Times New Roman" w:hAnsi="Times New Roman" w:cs="Times New Roman"/>
          <w:bCs/>
          <w:sz w:val="20"/>
          <w:szCs w:val="20"/>
          <w:lang w:val="en-US"/>
        </w:rPr>
        <w:t>This template shall reflect the</w:t>
      </w:r>
      <w:r w:rsidR="00101E66" w:rsidRPr="001336D0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gross</w:t>
      </w:r>
      <w:r w:rsidRPr="00F65FA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best estimate of insurance </w:t>
      </w:r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and reinsurance </w:t>
      </w:r>
      <w:r w:rsidR="00717F3C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life </w:t>
      </w:r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obligations </w:t>
      </w:r>
      <w:r w:rsidR="001D67B3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subject to volatility adjustment </w:t>
      </w:r>
      <w:r w:rsidR="00D103CC" w:rsidRPr="003E3467">
        <w:rPr>
          <w:rFonts w:ascii="Times New Roman" w:hAnsi="Times New Roman" w:cs="Times New Roman"/>
          <w:bCs/>
          <w:sz w:val="20"/>
          <w:szCs w:val="20"/>
          <w:lang w:val="en-US"/>
        </w:rPr>
        <w:t>split by</w:t>
      </w:r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5921C6" w:rsidRPr="003E3467">
        <w:rPr>
          <w:rFonts w:ascii="Times New Roman" w:hAnsi="Times New Roman" w:cs="Times New Roman"/>
          <w:bCs/>
          <w:sz w:val="20"/>
          <w:szCs w:val="20"/>
          <w:lang w:val="en-US"/>
        </w:rPr>
        <w:t>currency of the obligation</w:t>
      </w:r>
      <w:r w:rsidR="00A05721" w:rsidRPr="001336D0">
        <w:rPr>
          <w:rFonts w:ascii="Times New Roman" w:hAnsi="Times New Roman" w:cs="Times New Roman"/>
          <w:bCs/>
          <w:sz w:val="20"/>
          <w:szCs w:val="20"/>
          <w:lang w:val="en-US"/>
        </w:rPr>
        <w:t>s</w:t>
      </w:r>
      <w:r w:rsidR="00D103CC" w:rsidRPr="001336D0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and</w:t>
      </w:r>
      <w:r w:rsidR="005921C6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Pr="003E3467">
        <w:rPr>
          <w:rFonts w:ascii="Times New Roman" w:hAnsi="Times New Roman" w:cs="Times New Roman"/>
          <w:bCs/>
          <w:sz w:val="20"/>
          <w:szCs w:val="20"/>
          <w:lang w:val="en-US"/>
        </w:rPr>
        <w:t>by country</w:t>
      </w:r>
      <w:r w:rsidR="005921C6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D103CC" w:rsidRPr="001336D0">
        <w:rPr>
          <w:rFonts w:ascii="Times New Roman" w:hAnsi="Times New Roman" w:cs="Times New Roman"/>
          <w:bCs/>
          <w:sz w:val="20"/>
          <w:szCs w:val="20"/>
          <w:lang w:val="en-US"/>
        </w:rPr>
        <w:t>in which</w:t>
      </w:r>
      <w:r w:rsidR="005921C6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the contract was entered into</w:t>
      </w:r>
      <w:r w:rsidR="00D103CC" w:rsidRPr="001336D0">
        <w:rPr>
          <w:rFonts w:ascii="Times New Roman" w:hAnsi="Times New Roman" w:cs="Times New Roman"/>
          <w:bCs/>
          <w:sz w:val="20"/>
          <w:szCs w:val="20"/>
          <w:lang w:val="en-US"/>
        </w:rPr>
        <w:t>.</w:t>
      </w:r>
      <w:r w:rsidR="00BE0954" w:rsidRPr="001336D0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D103CC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The best estimate </w:t>
      </w:r>
      <w:r w:rsidR="00BE0954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reported </w:t>
      </w:r>
      <w:r w:rsidR="00D103CC" w:rsidRPr="003E3467">
        <w:rPr>
          <w:rFonts w:ascii="Times New Roman" w:hAnsi="Times New Roman" w:cs="Times New Roman"/>
          <w:bCs/>
          <w:sz w:val="20"/>
          <w:szCs w:val="20"/>
          <w:lang w:val="en-US"/>
        </w:rPr>
        <w:t>shall take into account</w:t>
      </w:r>
      <w:r w:rsidR="001D67B3" w:rsidRPr="003E3467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the </w:t>
      </w:r>
      <w:r w:rsidR="00BE0954" w:rsidRPr="003E3467">
        <w:rPr>
          <w:rFonts w:ascii="Times New Roman" w:hAnsi="Times New Roman" w:cs="Times New Roman"/>
          <w:bCs/>
          <w:sz w:val="20"/>
          <w:szCs w:val="20"/>
          <w:lang w:val="en-US"/>
        </w:rPr>
        <w:t>volatility</w:t>
      </w:r>
      <w:r w:rsidR="00BE0954"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  <w:r w:rsidR="00A05721" w:rsidRPr="00E0533B">
        <w:rPr>
          <w:rFonts w:ascii="Times New Roman" w:hAnsi="Times New Roman" w:cs="Times New Roman"/>
          <w:bCs/>
          <w:sz w:val="20"/>
          <w:szCs w:val="20"/>
          <w:lang w:val="en-US"/>
        </w:rPr>
        <w:t>adjustment</w:t>
      </w:r>
      <w:r w:rsidR="00B824AD" w:rsidRPr="00E0533B">
        <w:rPr>
          <w:rFonts w:ascii="Times New Roman" w:hAnsi="Times New Roman" w:cs="Times New Roman"/>
          <w:bCs/>
          <w:sz w:val="20"/>
          <w:szCs w:val="20"/>
          <w:lang w:val="en-US"/>
        </w:rPr>
        <w:t>.</w:t>
      </w:r>
      <w:r w:rsidR="000D7053" w:rsidRPr="0030377B">
        <w:rPr>
          <w:rFonts w:ascii="Times New Roman" w:hAnsi="Times New Roman" w:cs="Times New Roman"/>
          <w:sz w:val="20"/>
          <w:szCs w:val="20"/>
          <w:lang w:val="en-US"/>
        </w:rPr>
        <w:t xml:space="preserve"> T</w:t>
      </w:r>
      <w:r w:rsidR="00FB3E09" w:rsidRPr="0030377B">
        <w:rPr>
          <w:rFonts w:ascii="Times New Roman" w:hAnsi="Times New Roman" w:cs="Times New Roman"/>
          <w:sz w:val="20"/>
          <w:szCs w:val="20"/>
          <w:lang w:val="en-GB"/>
        </w:rPr>
        <w:t xml:space="preserve">he best estimate </w:t>
      </w:r>
      <w:r w:rsidR="001D67B3"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subject to any matching adjustment </w:t>
      </w:r>
      <w:r w:rsidR="00FB3E09"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should </w:t>
      </w:r>
      <w:r w:rsidR="001D67B3"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not </w:t>
      </w:r>
      <w:r w:rsidR="00FB3E09" w:rsidRPr="00F65FA4">
        <w:rPr>
          <w:rFonts w:ascii="Times New Roman" w:hAnsi="Times New Roman" w:cs="Times New Roman"/>
          <w:sz w:val="20"/>
          <w:szCs w:val="20"/>
          <w:lang w:val="en-GB"/>
        </w:rPr>
        <w:t>be reported</w:t>
      </w:r>
      <w:r w:rsidR="001D67B3"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 in this template</w:t>
      </w:r>
      <w:r w:rsidR="00030964" w:rsidRPr="00F65FA4">
        <w:rPr>
          <w:rFonts w:ascii="Times New Roman" w:hAnsi="Times New Roman" w:cs="Times New Roman"/>
          <w:sz w:val="20"/>
          <w:szCs w:val="20"/>
          <w:lang w:val="en-GB"/>
        </w:rPr>
        <w:t>.</w:t>
      </w:r>
      <w:r w:rsidR="00FB3E09"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:rsidR="001D67B3" w:rsidRPr="000D7053" w:rsidRDefault="001D67B3" w:rsidP="006B5227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F65FA4">
        <w:rPr>
          <w:rFonts w:ascii="Times New Roman" w:hAnsi="Times New Roman" w:cs="Times New Roman"/>
          <w:sz w:val="20"/>
          <w:szCs w:val="20"/>
          <w:lang w:val="en-GB"/>
        </w:rPr>
        <w:t>Information should be reported in relation to</w:t>
      </w:r>
      <w:r w:rsidR="00A72AA2">
        <w:rPr>
          <w:rFonts w:ascii="Times New Roman" w:hAnsi="Times New Roman" w:cs="Times New Roman"/>
          <w:sz w:val="20"/>
          <w:szCs w:val="20"/>
          <w:lang w:val="en-GB"/>
        </w:rPr>
        <w:t xml:space="preserve"> material</w:t>
      </w:r>
      <w:r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 obligations in countries and currencies for which a currency volatility adjustment</w:t>
      </w:r>
      <w:r w:rsidR="00A72AA2">
        <w:rPr>
          <w:rFonts w:ascii="Times New Roman" w:hAnsi="Times New Roman" w:cs="Times New Roman"/>
          <w:sz w:val="20"/>
          <w:szCs w:val="20"/>
          <w:lang w:val="en-GB"/>
        </w:rPr>
        <w:t>, and a country increase if a</w:t>
      </w:r>
      <w:r w:rsidR="001D499E">
        <w:rPr>
          <w:rFonts w:ascii="Times New Roman" w:hAnsi="Times New Roman" w:cs="Times New Roman"/>
          <w:sz w:val="20"/>
          <w:szCs w:val="20"/>
          <w:lang w:val="en-GB"/>
        </w:rPr>
        <w:t>pplicable</w:t>
      </w:r>
      <w:r w:rsidR="00A72AA2">
        <w:rPr>
          <w:rFonts w:ascii="Times New Roman" w:hAnsi="Times New Roman" w:cs="Times New Roman"/>
          <w:sz w:val="20"/>
          <w:szCs w:val="20"/>
          <w:lang w:val="en-GB"/>
        </w:rPr>
        <w:t>,</w:t>
      </w:r>
      <w:r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 is applied</w:t>
      </w:r>
      <w:r w:rsidR="001829D5" w:rsidRPr="001336D0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  <w:r w:rsidRPr="00F65FA4">
        <w:rPr>
          <w:rFonts w:ascii="Times New Roman" w:hAnsi="Times New Roman" w:cs="Times New Roman"/>
          <w:sz w:val="20"/>
          <w:szCs w:val="20"/>
          <w:lang w:val="en-GB"/>
        </w:rPr>
        <w:t xml:space="preserve">until 90% of the total best estimate </w:t>
      </w:r>
      <w:r w:rsidRPr="00F65FA4">
        <w:rPr>
          <w:rFonts w:ascii="Times New Roman" w:hAnsi="Times New Roman" w:cs="Times New Roman"/>
          <w:bCs/>
          <w:sz w:val="20"/>
          <w:szCs w:val="20"/>
          <w:lang w:val="en-US"/>
        </w:rPr>
        <w:t>subject to volatility adjustment is reported.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2977"/>
        <w:gridCol w:w="3367"/>
      </w:tblGrid>
      <w:tr w:rsidR="0011504E" w:rsidRPr="00413D10" w:rsidTr="00183C18">
        <w:tc>
          <w:tcPr>
            <w:tcW w:w="2376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B5227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</w:t>
            </w:r>
          </w:p>
        </w:tc>
        <w:tc>
          <w:tcPr>
            <w:tcW w:w="3367" w:type="dxa"/>
            <w:vAlign w:val="center"/>
          </w:tcPr>
          <w:p w:rsidR="0011504E" w:rsidRPr="006B5227" w:rsidRDefault="0011504E" w:rsidP="006B522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6B5227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INSTRUCTIONS</w:t>
            </w:r>
          </w:p>
        </w:tc>
      </w:tr>
      <w:tr w:rsidR="00F65FA4" w:rsidRPr="000D7053" w:rsidTr="00183C18">
        <w:tc>
          <w:tcPr>
            <w:tcW w:w="2376" w:type="dxa"/>
          </w:tcPr>
          <w:p w:rsidR="00F65FA4" w:rsidRDefault="00F65FA4" w:rsidP="001336D0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Z0010</w:t>
            </w:r>
          </w:p>
        </w:tc>
        <w:tc>
          <w:tcPr>
            <w:tcW w:w="2977" w:type="dxa"/>
          </w:tcPr>
          <w:p w:rsidR="00F65FA4" w:rsidRDefault="00F65FA4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Line of Business</w:t>
            </w:r>
          </w:p>
        </w:tc>
        <w:tc>
          <w:tcPr>
            <w:tcW w:w="3367" w:type="dxa"/>
            <w:vAlign w:val="center"/>
          </w:tcPr>
          <w:p w:rsidR="00F65FA4" w:rsidRPr="00C501C5" w:rsidRDefault="00F65FA4" w:rsidP="001D67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Identify if the information is being reported in relation to</w:t>
            </w:r>
            <w:r w:rsidR="00183C1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 The following close list should be used</w:t>
            </w:r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:</w:t>
            </w:r>
          </w:p>
          <w:p w:rsidR="00F65FA4" w:rsidRPr="001336D0" w:rsidRDefault="00183C18" w:rsidP="001336D0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1 </w:t>
            </w:r>
            <w:r w:rsidR="00E0533B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</w:t>
            </w:r>
            <w:r w:rsidR="00F65FA4" w:rsidRPr="001336D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Life </w:t>
            </w:r>
            <w:r w:rsidR="004F7038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and health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SLT</w:t>
            </w:r>
            <w:r w:rsidR="004F7038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:rsidR="00F65FA4" w:rsidRPr="001336D0" w:rsidRDefault="00183C18" w:rsidP="00183C18">
            <w:p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2 </w:t>
            </w:r>
            <w:r w:rsidR="00E0533B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- </w:t>
            </w:r>
            <w:r w:rsidR="00F65FA4" w:rsidRPr="001336D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Non-life </w:t>
            </w:r>
            <w:r w:rsidR="004F7038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and health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NSLT</w:t>
            </w:r>
            <w:bookmarkStart w:id="0" w:name="_GoBack"/>
            <w:bookmarkEnd w:id="0"/>
          </w:p>
        </w:tc>
      </w:tr>
      <w:tr w:rsidR="00EF64EB" w:rsidRPr="000D7053" w:rsidTr="00183C18">
        <w:tc>
          <w:tcPr>
            <w:tcW w:w="2376" w:type="dxa"/>
          </w:tcPr>
          <w:p w:rsidR="00EF64EB" w:rsidRPr="000D7053" w:rsidDel="00BD78AD" w:rsidRDefault="00EF64EB" w:rsidP="001336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</w:rPr>
              <w:t>C0010/</w:t>
            </w:r>
            <w:r w:rsidRPr="002671F8">
              <w:rPr>
                <w:rFonts w:ascii="Times New Roman" w:hAnsi="Times New Roman" w:cs="Times New Roman"/>
                <w:sz w:val="20"/>
              </w:rPr>
              <w:t>R0010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977" w:type="dxa"/>
          </w:tcPr>
          <w:p w:rsidR="00EF64EB" w:rsidRPr="000D7053" w:rsidRDefault="00EF64EB" w:rsidP="001336D0">
            <w:pPr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currency</w:t>
            </w:r>
          </w:p>
        </w:tc>
        <w:tc>
          <w:tcPr>
            <w:tcW w:w="3367" w:type="dxa"/>
            <w:vAlign w:val="center"/>
          </w:tcPr>
          <w:p w:rsidR="00EF64EB" w:rsidRPr="00C501C5" w:rsidDel="00BD78AD" w:rsidRDefault="00EF64EB" w:rsidP="001D67B3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 the ISO 4217 alphabetic code of </w:t>
            </w:r>
            <w:r w:rsidR="001D67B3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each </w:t>
            </w:r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currency</w:t>
            </w:r>
            <w:r w:rsidR="001D67B3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reported</w:t>
            </w:r>
            <w:r w:rsidR="00245626"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C501C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  <w:tr w:rsidR="00256C4E" w:rsidRPr="00256C4E" w:rsidTr="001336D0">
        <w:trPr>
          <w:trHeight w:val="409"/>
        </w:trPr>
        <w:tc>
          <w:tcPr>
            <w:tcW w:w="8720" w:type="dxa"/>
            <w:gridSpan w:val="3"/>
            <w:vAlign w:val="center"/>
          </w:tcPr>
          <w:p w:rsidR="00256C4E" w:rsidRPr="001336D0" w:rsidRDefault="00256C4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1336D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Best estimate subject to country and currency volatility adjustment - Total and home country by currency</w:t>
            </w:r>
          </w:p>
        </w:tc>
      </w:tr>
      <w:tr w:rsidR="00EF64EB" w:rsidRPr="000D7053" w:rsidTr="001336D0">
        <w:tc>
          <w:tcPr>
            <w:tcW w:w="2376" w:type="dxa"/>
          </w:tcPr>
          <w:p w:rsidR="00EF64EB" w:rsidRPr="00030964" w:rsidDel="00D46F2F" w:rsidRDefault="00EF64EB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C0030/R0020</w:t>
            </w:r>
          </w:p>
        </w:tc>
        <w:tc>
          <w:tcPr>
            <w:tcW w:w="2977" w:type="dxa"/>
          </w:tcPr>
          <w:p w:rsidR="00EF64EB" w:rsidRDefault="00A95A85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value of Best Estimate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1D67B3"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Total value of all countries</w:t>
            </w:r>
          </w:p>
        </w:tc>
        <w:tc>
          <w:tcPr>
            <w:tcW w:w="3367" w:type="dxa"/>
            <w:vAlign w:val="center"/>
          </w:tcPr>
          <w:p w:rsidR="00EF64EB" w:rsidRPr="000D7053" w:rsidRDefault="00EF64EB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and all countries,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the insurance and reinsurance obligations</w:t>
            </w:r>
            <w:r w:rsidR="001D67B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256C4E" w:rsidRPr="000D7053" w:rsidTr="001336D0">
        <w:tc>
          <w:tcPr>
            <w:tcW w:w="2376" w:type="dxa"/>
          </w:tcPr>
          <w:p w:rsidR="00256C4E" w:rsidRPr="00030964" w:rsidDel="00D46F2F" w:rsidRDefault="00256C4E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C0040/R0020</w:t>
            </w:r>
          </w:p>
        </w:tc>
        <w:tc>
          <w:tcPr>
            <w:tcW w:w="2977" w:type="dxa"/>
          </w:tcPr>
          <w:p w:rsidR="00256C4E" w:rsidRDefault="00256C4E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written in the reporting currency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Total value of all countries</w:t>
            </w:r>
          </w:p>
        </w:tc>
        <w:tc>
          <w:tcPr>
            <w:tcW w:w="3367" w:type="dxa"/>
            <w:vAlign w:val="center"/>
          </w:tcPr>
          <w:p w:rsidR="00256C4E" w:rsidRPr="000D7053" w:rsidRDefault="00256C4E" w:rsidP="00F265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all countries,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the insurance and reinsurance 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reporting currency.</w:t>
            </w:r>
          </w:p>
        </w:tc>
      </w:tr>
      <w:tr w:rsidR="00256C4E" w:rsidRPr="000D7053" w:rsidTr="001336D0">
        <w:tc>
          <w:tcPr>
            <w:tcW w:w="2376" w:type="dxa"/>
          </w:tcPr>
          <w:p w:rsidR="00256C4E" w:rsidRPr="00030964" w:rsidDel="00D46F2F" w:rsidRDefault="00256C4E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C0050/R0020</w:t>
            </w:r>
          </w:p>
        </w:tc>
        <w:tc>
          <w:tcPr>
            <w:tcW w:w="2977" w:type="dxa"/>
          </w:tcPr>
          <w:p w:rsidR="00256C4E" w:rsidRDefault="00256C4E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Total value of all countries</w:t>
            </w:r>
          </w:p>
        </w:tc>
        <w:tc>
          <w:tcPr>
            <w:tcW w:w="3367" w:type="dxa"/>
          </w:tcPr>
          <w:p w:rsidR="00256C4E" w:rsidRPr="000D7053" w:rsidRDefault="00256C4E" w:rsidP="00F265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 for all countries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of the best estimate of the insurance and reinsurance obligations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split by c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urrency.</w:t>
            </w:r>
          </w:p>
        </w:tc>
      </w:tr>
      <w:tr w:rsidR="00EF64EB" w:rsidRPr="000D7053" w:rsidTr="001336D0">
        <w:tc>
          <w:tcPr>
            <w:tcW w:w="2376" w:type="dxa"/>
          </w:tcPr>
          <w:p w:rsidR="00EF64EB" w:rsidRDefault="00EF64EB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C0030/R0030</w:t>
            </w:r>
          </w:p>
        </w:tc>
        <w:tc>
          <w:tcPr>
            <w:tcW w:w="2977" w:type="dxa"/>
          </w:tcPr>
          <w:p w:rsidR="00EF64EB" w:rsidRDefault="00A95A85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value of Best Estimate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1D67B3"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64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 Home country</w:t>
            </w:r>
          </w:p>
        </w:tc>
        <w:tc>
          <w:tcPr>
            <w:tcW w:w="3367" w:type="dxa"/>
            <w:vAlign w:val="center"/>
          </w:tcPr>
          <w:p w:rsidR="00EF64EB" w:rsidRPr="000D7053" w:rsidRDefault="00EF64EB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Total value, for all currencies for the home country, of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the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the insurance and reinsurance obligations</w:t>
            </w:r>
            <w:r w:rsidR="001D67B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256C4E" w:rsidRPr="000D7053" w:rsidTr="001336D0">
        <w:tc>
          <w:tcPr>
            <w:tcW w:w="2376" w:type="dxa"/>
          </w:tcPr>
          <w:p w:rsidR="00256C4E" w:rsidRPr="00030964" w:rsidDel="00D46F2F" w:rsidRDefault="00256C4E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C0040/R0030</w:t>
            </w:r>
          </w:p>
        </w:tc>
        <w:tc>
          <w:tcPr>
            <w:tcW w:w="2977" w:type="dxa"/>
          </w:tcPr>
          <w:p w:rsidR="00256C4E" w:rsidRDefault="00256C4E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written in the reporting currency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Home country</w:t>
            </w:r>
          </w:p>
        </w:tc>
        <w:tc>
          <w:tcPr>
            <w:tcW w:w="3367" w:type="dxa"/>
            <w:vAlign w:val="center"/>
          </w:tcPr>
          <w:p w:rsidR="00256C4E" w:rsidRPr="000D7053" w:rsidRDefault="00256C4E" w:rsidP="00F265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Total v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alue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home country,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the insurance and reinsurance 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for the reporting currency.</w:t>
            </w:r>
          </w:p>
        </w:tc>
      </w:tr>
      <w:tr w:rsidR="00256C4E" w:rsidRPr="000D7053" w:rsidTr="001336D0">
        <w:tc>
          <w:tcPr>
            <w:tcW w:w="2376" w:type="dxa"/>
          </w:tcPr>
          <w:p w:rsidR="00256C4E" w:rsidRPr="00030964" w:rsidDel="00D46F2F" w:rsidRDefault="00256C4E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C0050/R0030</w:t>
            </w:r>
          </w:p>
        </w:tc>
        <w:tc>
          <w:tcPr>
            <w:tcW w:w="2977" w:type="dxa"/>
          </w:tcPr>
          <w:p w:rsidR="00256C4E" w:rsidRDefault="00256C4E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/ Home country</w:t>
            </w:r>
          </w:p>
        </w:tc>
        <w:tc>
          <w:tcPr>
            <w:tcW w:w="3367" w:type="dxa"/>
          </w:tcPr>
          <w:p w:rsidR="00256C4E" w:rsidRPr="000D7053" w:rsidRDefault="00256C4E" w:rsidP="00F265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 of the best estimate of the insurance and reinsurance obligations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split by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urrency for the home country.</w:t>
            </w:r>
          </w:p>
        </w:tc>
      </w:tr>
      <w:tr w:rsidR="00256C4E" w:rsidRPr="00256C4E" w:rsidTr="00F26524">
        <w:trPr>
          <w:trHeight w:val="409"/>
        </w:trPr>
        <w:tc>
          <w:tcPr>
            <w:tcW w:w="8720" w:type="dxa"/>
            <w:gridSpan w:val="3"/>
            <w:vAlign w:val="center"/>
          </w:tcPr>
          <w:p w:rsidR="00256C4E" w:rsidRPr="001336D0" w:rsidRDefault="00256C4E" w:rsidP="00256C4E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1336D0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lastRenderedPageBreak/>
              <w:t>Best estimate subject to country and currency volatility adjustment - By country and currency</w:t>
            </w:r>
          </w:p>
        </w:tc>
      </w:tr>
      <w:tr w:rsidR="00256C4E" w:rsidRPr="000D7053" w:rsidTr="001336D0">
        <w:tc>
          <w:tcPr>
            <w:tcW w:w="2376" w:type="dxa"/>
          </w:tcPr>
          <w:p w:rsidR="00256C4E" w:rsidRDefault="00256C4E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C0020/R0040</w:t>
            </w:r>
          </w:p>
        </w:tc>
        <w:tc>
          <w:tcPr>
            <w:tcW w:w="2977" w:type="dxa"/>
          </w:tcPr>
          <w:p w:rsidR="00256C4E" w:rsidRDefault="00256C4E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Countries</w:t>
            </w:r>
          </w:p>
        </w:tc>
        <w:tc>
          <w:tcPr>
            <w:tcW w:w="3367" w:type="dxa"/>
            <w:vAlign w:val="center"/>
          </w:tcPr>
          <w:p w:rsidR="00256C4E" w:rsidRDefault="00256C4E" w:rsidP="00F26524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Report the </w:t>
            </w:r>
            <w:r w:rsidRPr="000D705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ISO 3166-1 alpha-2 code of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each </w:t>
            </w:r>
            <w:r w:rsidRPr="000D705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countr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y reported.</w:t>
            </w:r>
          </w:p>
        </w:tc>
      </w:tr>
      <w:tr w:rsidR="00EF64EB" w:rsidRPr="000D7053" w:rsidTr="001336D0">
        <w:tc>
          <w:tcPr>
            <w:tcW w:w="2376" w:type="dxa"/>
          </w:tcPr>
          <w:p w:rsidR="00EF64EB" w:rsidRDefault="00EF64EB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C0030/R0040</w:t>
            </w:r>
          </w:p>
        </w:tc>
        <w:tc>
          <w:tcPr>
            <w:tcW w:w="2977" w:type="dxa"/>
          </w:tcPr>
          <w:p w:rsidR="00EF64EB" w:rsidRDefault="00A95A85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Total value of Best Estimate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1D67B3"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(for all currencies)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</w:t>
            </w:r>
            <w:r w:rsidR="0006308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by country</w:t>
            </w:r>
          </w:p>
        </w:tc>
        <w:tc>
          <w:tcPr>
            <w:tcW w:w="3367" w:type="dxa"/>
            <w:vAlign w:val="center"/>
          </w:tcPr>
          <w:p w:rsidR="00EF64EB" w:rsidRPr="000D7053" w:rsidRDefault="00063087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Total value, for all currencies by country, of </w:t>
            </w:r>
            <w:r w:rsidR="00FA5BF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the insurance and reinsurance obligations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FA5BF7" w:rsidRPr="000D7053" w:rsidTr="001336D0">
        <w:tc>
          <w:tcPr>
            <w:tcW w:w="2376" w:type="dxa"/>
          </w:tcPr>
          <w:p w:rsidR="00FA5BF7" w:rsidRPr="00030964" w:rsidDel="00D46F2F" w:rsidRDefault="00555767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C0040/R0040</w:t>
            </w:r>
          </w:p>
        </w:tc>
        <w:tc>
          <w:tcPr>
            <w:tcW w:w="2977" w:type="dxa"/>
          </w:tcPr>
          <w:p w:rsidR="00FA5BF7" w:rsidRDefault="00A95A85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1D67B3"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in the reporting currency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E9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  <w:vAlign w:val="center"/>
          </w:tcPr>
          <w:p w:rsidR="00FA5BF7" w:rsidRPr="000D7053" w:rsidRDefault="00ED2C28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Value of the b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est estimate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2671F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of the insurance and reinsurance obligations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1D67B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for the reporting currency split by country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</w:tc>
      </w:tr>
      <w:tr w:rsidR="00882B24" w:rsidRPr="000D7053" w:rsidTr="001336D0">
        <w:tc>
          <w:tcPr>
            <w:tcW w:w="2376" w:type="dxa"/>
          </w:tcPr>
          <w:p w:rsidR="00882B24" w:rsidRPr="00030964" w:rsidDel="00D46F2F" w:rsidRDefault="00882B24" w:rsidP="001336D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C0050/R0040</w:t>
            </w:r>
          </w:p>
        </w:tc>
        <w:tc>
          <w:tcPr>
            <w:tcW w:w="2977" w:type="dxa"/>
          </w:tcPr>
          <w:p w:rsidR="00882B24" w:rsidRDefault="00A95A85" w:rsidP="001336D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Part of the Best Estimate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1D67B3"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A95A8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written in currencies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882B2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by country</w:t>
            </w:r>
          </w:p>
        </w:tc>
        <w:tc>
          <w:tcPr>
            <w:tcW w:w="3367" w:type="dxa"/>
          </w:tcPr>
          <w:p w:rsidR="00882B24" w:rsidRPr="000D7053" w:rsidRDefault="00882B24" w:rsidP="0030377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Value of the best estimate of the insurance and reinsurance obligations 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</w:t>
            </w:r>
            <w:r w:rsidR="001D67B3" w:rsidRP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ubject to volatility adjustmen</w:t>
            </w:r>
            <w:r w:rsidR="001D67B3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t</w:t>
            </w:r>
            <w:r w:rsidR="001D67B3"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split by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currency and by </w:t>
            </w:r>
            <w:r w:rsidRPr="007635AC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country</w:t>
            </w:r>
            <w:r w:rsidR="0024562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</w:tc>
      </w:tr>
    </w:tbl>
    <w:p w:rsidR="00D15C01" w:rsidRPr="006B5227" w:rsidRDefault="00D15C01" w:rsidP="006B5227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D15C01" w:rsidRPr="006B52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B87B66"/>
    <w:multiLevelType w:val="hybridMultilevel"/>
    <w:tmpl w:val="DA48B4BA"/>
    <w:lvl w:ilvl="0" w:tplc="057A8F1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D04FC"/>
    <w:rsid w:val="00001C3D"/>
    <w:rsid w:val="00011C44"/>
    <w:rsid w:val="00013072"/>
    <w:rsid w:val="00017AFD"/>
    <w:rsid w:val="000226E9"/>
    <w:rsid w:val="00030964"/>
    <w:rsid w:val="000518CB"/>
    <w:rsid w:val="00063087"/>
    <w:rsid w:val="0006791F"/>
    <w:rsid w:val="000C4841"/>
    <w:rsid w:val="000D7053"/>
    <w:rsid w:val="000E4776"/>
    <w:rsid w:val="00101E66"/>
    <w:rsid w:val="0011504E"/>
    <w:rsid w:val="00122A65"/>
    <w:rsid w:val="001248FD"/>
    <w:rsid w:val="001336D0"/>
    <w:rsid w:val="00173BDA"/>
    <w:rsid w:val="001829D5"/>
    <w:rsid w:val="00183C18"/>
    <w:rsid w:val="00187154"/>
    <w:rsid w:val="001900C1"/>
    <w:rsid w:val="0019474E"/>
    <w:rsid w:val="001D499E"/>
    <w:rsid w:val="001D67B3"/>
    <w:rsid w:val="001E7926"/>
    <w:rsid w:val="002160CC"/>
    <w:rsid w:val="0022782B"/>
    <w:rsid w:val="0023654E"/>
    <w:rsid w:val="00245626"/>
    <w:rsid w:val="00256C4E"/>
    <w:rsid w:val="00270A8B"/>
    <w:rsid w:val="002C1A75"/>
    <w:rsid w:val="002E02C6"/>
    <w:rsid w:val="0030117B"/>
    <w:rsid w:val="0030377B"/>
    <w:rsid w:val="003924C2"/>
    <w:rsid w:val="00394DFA"/>
    <w:rsid w:val="003D4E26"/>
    <w:rsid w:val="003E3467"/>
    <w:rsid w:val="003F3DCC"/>
    <w:rsid w:val="00413D10"/>
    <w:rsid w:val="004B6626"/>
    <w:rsid w:val="004C4E76"/>
    <w:rsid w:val="004E4A02"/>
    <w:rsid w:val="004F7038"/>
    <w:rsid w:val="005142A9"/>
    <w:rsid w:val="00530E29"/>
    <w:rsid w:val="00555767"/>
    <w:rsid w:val="005921C6"/>
    <w:rsid w:val="005A05CE"/>
    <w:rsid w:val="005C679E"/>
    <w:rsid w:val="005D3A88"/>
    <w:rsid w:val="005F63B5"/>
    <w:rsid w:val="00604EE8"/>
    <w:rsid w:val="00634FB1"/>
    <w:rsid w:val="00641969"/>
    <w:rsid w:val="006B5227"/>
    <w:rsid w:val="006D5CF0"/>
    <w:rsid w:val="006F3CE6"/>
    <w:rsid w:val="0071268B"/>
    <w:rsid w:val="00717F3C"/>
    <w:rsid w:val="00724307"/>
    <w:rsid w:val="00787EF7"/>
    <w:rsid w:val="007E0D63"/>
    <w:rsid w:val="008013DA"/>
    <w:rsid w:val="00820597"/>
    <w:rsid w:val="00821C48"/>
    <w:rsid w:val="0083428C"/>
    <w:rsid w:val="00835F66"/>
    <w:rsid w:val="00842997"/>
    <w:rsid w:val="00863A87"/>
    <w:rsid w:val="008705D5"/>
    <w:rsid w:val="00882B24"/>
    <w:rsid w:val="00897883"/>
    <w:rsid w:val="008A3574"/>
    <w:rsid w:val="008F48EA"/>
    <w:rsid w:val="00925F91"/>
    <w:rsid w:val="00973DBC"/>
    <w:rsid w:val="0099716F"/>
    <w:rsid w:val="009A0EB2"/>
    <w:rsid w:val="009C55DB"/>
    <w:rsid w:val="009D573F"/>
    <w:rsid w:val="009E0510"/>
    <w:rsid w:val="009F4C8D"/>
    <w:rsid w:val="00A04BBA"/>
    <w:rsid w:val="00A05721"/>
    <w:rsid w:val="00A13AD8"/>
    <w:rsid w:val="00A4041B"/>
    <w:rsid w:val="00A6596A"/>
    <w:rsid w:val="00A72AA2"/>
    <w:rsid w:val="00A737E7"/>
    <w:rsid w:val="00A95A85"/>
    <w:rsid w:val="00AD04FC"/>
    <w:rsid w:val="00AD0866"/>
    <w:rsid w:val="00AE2123"/>
    <w:rsid w:val="00AE3B83"/>
    <w:rsid w:val="00B25E7F"/>
    <w:rsid w:val="00B35E23"/>
    <w:rsid w:val="00B824AD"/>
    <w:rsid w:val="00BA4973"/>
    <w:rsid w:val="00BA5C6C"/>
    <w:rsid w:val="00BD1360"/>
    <w:rsid w:val="00BD78AD"/>
    <w:rsid w:val="00BD7FD4"/>
    <w:rsid w:val="00BE0954"/>
    <w:rsid w:val="00C16D55"/>
    <w:rsid w:val="00C209D2"/>
    <w:rsid w:val="00C501C5"/>
    <w:rsid w:val="00C71AC4"/>
    <w:rsid w:val="00C872F7"/>
    <w:rsid w:val="00CA2C47"/>
    <w:rsid w:val="00CC052B"/>
    <w:rsid w:val="00CC3342"/>
    <w:rsid w:val="00D04CBF"/>
    <w:rsid w:val="00D103CC"/>
    <w:rsid w:val="00D15C01"/>
    <w:rsid w:val="00D2090B"/>
    <w:rsid w:val="00D46F2F"/>
    <w:rsid w:val="00D72B71"/>
    <w:rsid w:val="00D76ED7"/>
    <w:rsid w:val="00D92CA2"/>
    <w:rsid w:val="00DB61FB"/>
    <w:rsid w:val="00DD3FD4"/>
    <w:rsid w:val="00DD62AB"/>
    <w:rsid w:val="00DE7789"/>
    <w:rsid w:val="00DF5603"/>
    <w:rsid w:val="00E0530F"/>
    <w:rsid w:val="00E0533B"/>
    <w:rsid w:val="00E41A18"/>
    <w:rsid w:val="00E52D75"/>
    <w:rsid w:val="00E565D5"/>
    <w:rsid w:val="00E5728C"/>
    <w:rsid w:val="00E832BF"/>
    <w:rsid w:val="00E97799"/>
    <w:rsid w:val="00ED2C28"/>
    <w:rsid w:val="00EF64EB"/>
    <w:rsid w:val="00F568FE"/>
    <w:rsid w:val="00F65FA4"/>
    <w:rsid w:val="00FA5BF7"/>
    <w:rsid w:val="00FA64B9"/>
    <w:rsid w:val="00FB3E09"/>
    <w:rsid w:val="00FB5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C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65F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C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34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E7F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70A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0A8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0A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0A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0A8B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65F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22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C1D9F-38F4-4AF6-8812-88C8F7A1B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664</Words>
  <Characters>3618</Characters>
  <Application>Microsoft Office Word</Application>
  <DocSecurity>0</DocSecurity>
  <Lines>75</Lines>
  <Paragraphs>21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DGSFP</Company>
  <LinksUpToDate>false</LinksUpToDate>
  <CharactersWithSpaces>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5</cp:revision>
  <cp:lastPrinted>2015-05-29T11:53:00Z</cp:lastPrinted>
  <dcterms:created xsi:type="dcterms:W3CDTF">2015-06-30T11:12:00Z</dcterms:created>
  <dcterms:modified xsi:type="dcterms:W3CDTF">2015-08-31T09:31:00Z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